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546-т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акционерному обществу «Уренгойгорводоканал» </w:t>
      </w:r>
      <w:r>
        <w:rPr>
          <w:b/>
          <w:bCs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района Коротчаево (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ГРЭ СГБ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)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b/>
          <w:bCs/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</w:t>
        <w:br/>
        <w:t xml:space="preserve">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и коммунальной услуги по обращению </w:t>
        <w:br/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</w:t>
        <w:br/>
        <w:t xml:space="preserve">№ 1081-П «О департаменте тарифной политики, энергетики и жилищно-коммунального комплекса Ямало-Ненецкого автономного округа»                                        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Уренгойгорводоканал»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</w:t>
        <w:br/>
        <w:t xml:space="preserve">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района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Коротчаево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ГРЭ СГБ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b w:val="0"/>
          <w:bCs w:val="0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</w:r>
      <w:r>
        <w:rPr>
          <w:rFonts w:ascii="Liberation Sans" w:hAnsi="Liberation Sans" w:cs="Liberation Sans"/>
          <w:bCs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Д.Н. Афанасьев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Уренгойгорводоканал»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района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Коротчаево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ГРЭ СГБ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b w:val="0"/>
          <w:bCs w:val="0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 Таблица </w:t>
      </w:r>
      <w:r>
        <w:rPr>
          <w:sz w:val="24"/>
          <w:szCs w:val="24"/>
        </w:rPr>
      </w:r>
      <w:r/>
    </w:p>
    <w:tbl>
      <w:tblPr>
        <w:tblW w:w="496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229"/>
        <w:gridCol w:w="66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подвоз воды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795,31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846,83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38,61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41,85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46,33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50,22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</w:tbl>
    <w:p>
      <w:pPr>
        <w:ind w:left="0" w:right="-170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0" w:right="-170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-170" w:firstLine="709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</w:r>
      <w:r/>
    </w:p>
    <w:sectPr>
      <w:footnotePr/>
      <w:endnotePr/>
      <w:type w:val="nextPage"/>
      <w:pgSz w:w="16838" w:h="11906" w:orient="landscape"/>
      <w:pgMar w:top="110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17</cp:revision>
  <dcterms:created xsi:type="dcterms:W3CDTF">2022-11-18T04:47:00Z</dcterms:created>
  <dcterms:modified xsi:type="dcterms:W3CDTF">2024-12-18T10:44:22Z</dcterms:modified>
</cp:coreProperties>
</file>